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365094"/>
            <wp:wrapTopAndBottom/>
            <wp:docPr id="0" name="Drawing 0" descr="a34139d2ed8b223bccf076f95f335908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34139d2ed8b223bccf076f95f335908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365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pacing w:val="-18"/>
          <w:sz w:val="28"/>
          <w:szCs w:val="28"/>
        </w:rPr>
        <w:t xml:space="preserve">Appendix A will provide definitions for the static data fields for an RTC generator registration. The tables below are organized by their respective tabs in the M-RETS generator registration interface.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pacing w:val="-15"/>
          <w:sz w:val="24"/>
          <w:szCs w:val="24"/>
        </w:rPr>
        <w:t>Required fields are indicated with an asterisk</w:t>
      </w:r>
      <w:r>
        <w:rPr>
          <w:rFonts w:ascii="Nunito Sans Bold" w:hAnsi="Nunito Sans Bold" w:cs="Nunito Sans Bold" w:eastAsia="Nunito Sans Bold"/>
          <w:b/>
          <w:bCs/>
          <w:color w:val="000000"/>
          <w:spacing w:val="-15"/>
          <w:sz w:val="24"/>
          <w:szCs w:val="24"/>
        </w:rPr>
        <w:t xml:space="preserve"> * </w:t>
      </w:r>
      <w:r>
        <w:rPr>
          <w:rFonts w:ascii="Nunito Sans Bold" w:hAnsi="Nunito Sans Bold" w:cs="Nunito Sans Bold" w:eastAsia="Nunito Sans Bold"/>
          <w:b/>
          <w:bCs/>
          <w:color w:val="000000"/>
          <w:spacing w:val="-18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pacing w:val="-32"/>
          <w:sz w:val="50"/>
          <w:szCs w:val="50"/>
        </w:rPr>
        <w:t xml:space="preserve">General Tab
</w:t>
      </w:r>
    </w:p>
    <w:tbl>
      <w:tblPr>
        <w:tblW w:w="9030" w:type="dxa"/>
        <w:tblBorders>
          <w:top w:val="single" w:color="000000" w:sz="18"/>
          <w:start w:color="000000" w:sz="18" w:val="single"/>
          <w:left w:val="single"/>
          <w:bottom w:val="single" w:color="000000" w:sz="18"/>
          <w:end w:color="000000" w:sz="18" w:val="single"/>
          <w:right w:val="single"/>
          <w:insideH w:val="single" w:color="000000" w:sz="18"/>
          <w:insideV w:val="single" w:color="000000" w:sz="18"/>
        </w:tblBorders>
      </w:tblPr>
      <w:tblGrid>
        <w:gridCol w:w="1944"/>
        <w:gridCol w:w="7085"/>
      </w:tblGrid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General Information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Facility Name*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Name of the facility. 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Location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tcBorders>
              <w:bottom w:color="000000" w:sz="12" w:val="single"/>
            </w:tcBorders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Country*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Country where facility is located.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tcBorders>
              <w:top w:color="000000" w:sz="12" w:val="single"/>
              <w:bottom w:color="000000" w:sz="12" w:val="single"/>
            </w:tcBorders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State or Province*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State or Province where 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facility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 is located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tcBorders>
              <w:top w:color="000000" w:sz="12" w:val="single"/>
            </w:tcBorders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County or Municipality*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County or Municipality where facility is located.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Facility Photo*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A photo of the facility.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Reporting and Issuance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Reporting Entity* 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Organization that reports generation data for the Generator; either self reporting or an IRE.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Issuance Account*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Active Account that all issued certificates will be deposited to.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Owner Tab
</w:t>
      </w:r>
    </w:p>
    <w:tbl>
      <w:tblPr>
        <w:tblW w:w="9030" w:type="dxa"/>
        <w:tblBorders>
          <w:top w:val="single" w:color="000000" w:sz="18"/>
          <w:start w:color="000000" w:sz="18" w:val="single"/>
          <w:left w:val="single"/>
          <w:bottom w:val="single" w:color="000000" w:sz="18"/>
          <w:end w:color="000000" w:sz="18" w:val="single"/>
          <w:right w:val="single"/>
          <w:insideH w:val="single" w:color="000000" w:sz="18"/>
          <w:insideV w:val="single" w:color="000000" w:sz="18"/>
        </w:tblBorders>
      </w:tblPr>
      <w:tblGrid>
        <w:gridCol w:w="1944"/>
        <w:gridCol w:w="7085"/>
      </w:tblGrid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General Ownership Information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vMerge w:val="restart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Single Owner Facility?*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vMerge w:val="restart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>Yes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: The facility has one owner. 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>No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: The facility is owned by multiple organizations. Input the additional owners. 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9030" w:type="dxa"/>
            <w:gridSpan w:val="2"/>
            <w:tcBorders>
              <w:top w:color="000000" w:sz="12" w:val="single"/>
            </w:tcBorders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Ownership Type and Registration Rights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tcBorders>
              <w:top w:color="000000" w:sz="12" w:val="single"/>
            </w:tcBorders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Ownership Types*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The organization type that owns the generator (e.g: Independent Power Producer, Irrigation District). 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Assignment of Registration Rights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>Yes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: Facility is a single owner facility or the Schedule A is signed by both the owner and the responsible party.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>No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: Not applicable.
</w:t>
            </w:r>
          </w:p>
        </w:tc>
      </w:tr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Owner Contact Information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Owner Contact Information*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Company contact information for the organization that holds the legal title to the generator.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Operator Tab
</w:t>
      </w:r>
    </w:p>
    <w:tbl>
      <w:tblPr>
        <w:tblW w:w="9030" w:type="dxa"/>
        <w:tblBorders>
          <w:top w:val="single" w:color="000000" w:sz="18"/>
          <w:start w:color="000000" w:sz="18" w:val="single"/>
          <w:left w:val="single"/>
          <w:bottom w:val="single" w:color="000000" w:sz="18"/>
          <w:end w:color="000000" w:sz="18" w:val="single"/>
          <w:right w:val="single"/>
          <w:insideH w:val="single" w:color="000000" w:sz="18"/>
          <w:insideV w:val="single" w:color="000000" w:sz="18"/>
        </w:tblBorders>
      </w:tblPr>
      <w:tblGrid>
        <w:gridCol w:w="1944"/>
        <w:gridCol w:w="7085"/>
      </w:tblGrid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Facility Operator Information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vMerge w:val="restart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Operator Contact Information* 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vMerge w:val="restart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The contact info of the organization that operates the facility.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9030" w:type="dxa"/>
            <w:gridSpan w:val="2"/>
            <w:tcBorders>
              <w:top w:color="000000" w:sz="12" w:val="single"/>
            </w:tcBorders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Engineering Information 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tcBorders>
              <w:top w:color="000000" w:sz="12" w:val="single"/>
            </w:tcBorders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Engineering Information*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The contact and license information of the engineer that completed the engineering review. 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Engineering Tab
</w:t>
      </w:r>
    </w:p>
    <w:tbl>
      <w:tblPr>
        <w:tblW w:w="9030" w:type="dxa"/>
        <w:tblBorders>
          <w:top w:val="single" w:color="000000" w:sz="18"/>
          <w:start w:color="000000" w:sz="18" w:val="single"/>
          <w:left w:val="single"/>
          <w:bottom w:val="single" w:color="000000" w:sz="18"/>
          <w:end w:color="000000" w:sz="18" w:val="single"/>
          <w:right w:val="single"/>
          <w:insideH w:val="single" w:color="000000" w:sz="18"/>
          <w:insideV w:val="single" w:color="000000" w:sz="18"/>
        </w:tblBorders>
      </w:tblPr>
      <w:tblGrid>
        <w:gridCol w:w="2124"/>
        <w:gridCol w:w="6905"/>
      </w:tblGrid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Class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124" w:type="dxa"/>
            <w:vMerge w:val="restart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Injection Site*: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Not Pipeline Connected
</w:t>
            </w:r>
          </w:p>
        </w:tc>
        <w:tc>
          <w:tcPr>
            <w:tcW w:w="6905" w:type="dxa"/>
            <w:vMerge w:val="restart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Description: Enter a description of the non pipeline connected status of the generator.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2124" w:type="dxa"/>
            <w:vMerge w:val="restart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Injection Site*: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Interstate Pipeline Transportation System 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6905" w:type="dxa"/>
            <w:vMerge w:val="restart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Injection Site Name: The name of the injection site.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Injection Site Latitude.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Injection Site Longitude.
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2124" w:type="dxa"/>
            <w:vMerge w:val="restart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Injection Site*: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Local Gas Distribution System or Utility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6905" w:type="dxa"/>
            <w:vMerge w:val="restart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Injection Site Name: The name of the injection site.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Injection Site Latitude.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Injection Site Longitude.
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9030" w:type="dxa"/>
            <w:gridSpan w:val="2"/>
            <w:tcBorders>
              <w:top w:color="000000" w:sz="12" w:val="single"/>
            </w:tcBorders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Metering Information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124" w:type="dxa"/>
            <w:vMerge w:val="restart"/>
            <w:tcBorders>
              <w:top w:color="000000" w:sz="12" w:val="single"/>
            </w:tcBorders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Is this a revenue quality meter?*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690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>Yes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: The facility utilities a revenue quality meter.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690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>No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:  The facility does not utilize a revenue quality meter.
</w:t>
            </w:r>
          </w:p>
        </w:tc>
      </w:tr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Engineering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12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Commenced Operation Date*
</w:t>
            </w:r>
          </w:p>
        </w:tc>
        <w:tc>
          <w:tcPr>
            <w:tcW w:w="6905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The month and year a Generating Unit first began commercial operation or for non-commercial facilities, the date approved by the licensing or permitting agency.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12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Maximum Plant Capacity per Hour*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6905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he highest amount of energy that a plant can generate in one hour under optimal conditions.
</w:t>
            </w:r>
          </w:p>
        </w:tc>
      </w:tr>
      <w:tr>
        <w:tc>
          <w:tcPr>
            <w:tcW w:w="212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Maximum Plant Capacity per Month*
</w:t>
            </w:r>
          </w:p>
        </w:tc>
        <w:tc>
          <w:tcPr>
            <w:tcW w:w="6905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he highest amount of energy that a plant can generate in one month under optimal conditions.
</w:t>
            </w:r>
          </w:p>
        </w:tc>
      </w:tr>
      <w:tr>
        <w:tc>
          <w:tcPr>
            <w:tcW w:w="212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Has this system been registered at any time to create and/or sell RINS or LCFS Credits?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6905" w:type="dxa"/>
            <w:shd w:val="clear" w:color="auto" w:fill="ffffff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 xml:space="preserve">Yes: 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If yes, include the program that the facility is registered in or pending registration for. A reporting entity must be used if  “Yes” is selected. 
</w:t>
            </w:r>
          </w:p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 xml:space="preserve">No: 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No information is required to be input. 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Nunito Sans Bold" w:hAnsi="Nunito Sans Bold" w:cs="Nunito Sans Bold" w:eastAsia="Nunito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Fuels Tab
</w:t>
      </w:r>
    </w:p>
    <w:tbl>
      <w:tblPr>
        <w:tblW w:w="9030" w:type="dxa"/>
        <w:tblBorders>
          <w:top w:val="single" w:color="000000" w:sz="18"/>
          <w:start w:color="000000" w:sz="18" w:val="single"/>
          <w:left w:val="single"/>
          <w:bottom w:val="single" w:color="000000" w:sz="18"/>
          <w:end w:color="000000" w:sz="18" w:val="single"/>
          <w:right w:val="single"/>
          <w:insideH w:val="single" w:color="000000" w:sz="18"/>
          <w:insideV w:val="single" w:color="000000" w:sz="18"/>
        </w:tblBorders>
      </w:tblPr>
      <w:tblGrid>
        <w:gridCol w:w="1944"/>
        <w:gridCol w:w="7085"/>
      </w:tblGrid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Class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vMerge w:val="restart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Thermal Resource*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7085" w:type="dxa"/>
            <w:vMerge w:val="restart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The type of fuel or other naturally occurring thermal energy source produced by the associated Generating Unit. (e.g., a biogas generator produces biogas as a Resource Type while a renewable natural gas generator produces renewable natural gas).
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194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Feedstock*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The resource that is used to create the thermal resource.
</w:t>
            </w:r>
          </w:p>
        </w:tc>
      </w:tr>
      <w:tr>
        <w:tc>
          <w:tcPr>
            <w:tcW w:w="194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Label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An optional label that is applied to the feedstock.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1944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Program Eligibility
</w:t>
            </w:r>
          </w:p>
        </w:tc>
        <w:tc>
          <w:tcPr>
            <w:tcW w:w="7085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Datapoint available on the generator registration and applied to all issued certificates that allows certificates to be used in compliance or voluntary programs. 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If certificates are to be used for a compliance program, the program may require supporting documentation to validate the eligibility.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70"/>
          <w:szCs w:val="7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Carbon Pathway Tab
</w:t>
      </w:r>
    </w:p>
    <w:tbl>
      <w:tblPr>
        <w:tblW w:w="9030" w:type="dxa"/>
        <w:tblBorders>
          <w:top w:val="single" w:color="000000" w:sz="18"/>
          <w:start w:color="000000" w:sz="18" w:val="single"/>
          <w:left w:val="single"/>
          <w:bottom w:val="single" w:color="000000" w:sz="18"/>
          <w:end w:color="000000" w:sz="18" w:val="single"/>
          <w:right w:val="single"/>
          <w:insideH w:val="single" w:color="000000" w:sz="18"/>
          <w:insideV w:val="single" w:color="000000" w:sz="18"/>
        </w:tblBorders>
      </w:tblPr>
      <w:tblGrid>
        <w:gridCol w:w="2032"/>
        <w:gridCol w:w="6997"/>
      </w:tblGrid>
      <w:tr>
        <w:tc>
          <w:tcPr>
            <w:tcW w:w="9030" w:type="dxa"/>
            <w:gridSpan w:val="2"/>
            <w:shd w:val="clear" w:color="auto" w:fill="d9d9d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center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Class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032" w:type="dxa"/>
            <w:vMerge w:val="restart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Generator Fuel*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6997" w:type="dxa"/>
            <w:vMerge w:val="restart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The thermal resource of the generator.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Tool*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The lifecycle assessment model that was used to calculate the carbon intensity.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Name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The name assigned to the CI that is being entered.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>Verification Date*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The start date the CI verification is applicable.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End Date*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The last date the CI verification is applicable. 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Carbon Pathway Endpoint*: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The scope of the LCA being completed as defined below (</w:t>
            </w: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>Full, Partial, Injection,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 see below): 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Full Lifecycle Carbon Intensity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Represents the GHG emissions associated with all the steps of producing, transporting, and consuming a fuel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 xml:space="preserve">Partial Lifecycle Carbon Intensity 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Represents the GHG emissions associated with all the steps of producing a fuel up to the Injection Point or interconnection into the distribution system or interstate transportation system.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>Injection Point Carbon Intensity</w:t>
            </w: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Represents GHG emissions associated with the injection of a fuel at the point of interconnection into the distribution system or interstate transportation system.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9030" w:type="dxa"/>
            <w:gridSpan w:val="2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Carbon Intensity*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The carbon intensity expressed in (</w:t>
            </w: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>gCO2e/MJ)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 and/or (</w:t>
            </w:r>
            <w:r>
              <w:rPr>
                <w:rFonts w:ascii="Nunito Sans Bold" w:hAnsi="Nunito Sans Bold" w:cs="Nunito Sans Bold" w:eastAsia="Nunito Sans Bold"/>
                <w:b/>
                <w:bCs/>
                <w:color w:val="000000"/>
                <w:sz w:val="28"/>
                <w:szCs w:val="28"/>
              </w:rPr>
              <w:t xml:space="preserve">gCO2e/Dth).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Public Document*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Document available to all parties that receive or transact on the RTCs.
</w:t>
            </w:r>
          </w:p>
        </w:tc>
      </w:tr>
      <w:tr>
        <w:tc>
          <w:tcPr>
            <w:tcW w:w="2032" w:type="dxa"/>
            <w:shd w:val="clear" w:color="auto" w:fill="ffaa00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 Bold Italics" w:hAnsi="Nunito Sans Bold Italics" w:cs="Nunito Sans Bold Italics" w:eastAsia="Nunito Sans Bold Italics"/>
                <w:b/>
                <w:bCs/>
                <w:i/>
                <w:iCs/>
                <w:color w:val="000000"/>
                <w:sz w:val="28"/>
                <w:szCs w:val="28"/>
              </w:rPr>
              <w:t xml:space="preserve">Private Document*
</w:t>
            </w:r>
          </w:p>
        </w:tc>
        <w:tc>
          <w:tcPr>
            <w:tcW w:w="699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86" w:lineRule="auto"/>
              <w:ind w:firstLine="0" w:start="0"/>
              <w:jc w:val="start"/>
            </w:pP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This document will be available to current and future generator owners in the M-RETS System, any compliance (e.g. state government regulatory bodies such as an air regulator or Public Utilities Commission) and/or Voluntary Program Administrators (e.g. Green-e renewable thermal), with a Program Administrator login, and the M-RETS System Administrator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s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>.</w:t>
            </w:r>
            <w:r>
              <w:rPr>
                <w:rFonts w:ascii="Nunito Sans" w:hAnsi="Nunito Sans" w:cs="Nunito Sans" w:eastAsia="Nunito Sans"/>
                <w:color w:val="000000"/>
                <w:sz w:val="28"/>
                <w:szCs w:val="28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50"/>
          <w:szCs w:val="50"/>
        </w:rPr>
        <w:t xml:space="preserve">Documents Tab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28"/>
          <w:szCs w:val="28"/>
        </w:rPr>
        <w:t xml:space="preserve">All documents supporting the generator registration should be uploaded here, including but not limited to: 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unito Sans" w:hAnsi="Nunito Sans" w:cs="Nunito Sans" w:eastAsia="Nunito Sans"/>
          <w:color w:val="000000"/>
          <w:sz w:val="28"/>
          <w:szCs w:val="28"/>
        </w:rPr>
        <w:t xml:space="preserve">Schedule A </w:t>
      </w:r>
      <w:r>
        <w:rPr>
          <w:rFonts w:ascii="Nunito Sans" w:hAnsi="Nunito Sans" w:cs="Nunito Sans" w:eastAsia="Nunito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unito Sans" w:hAnsi="Nunito Sans" w:cs="Nunito Sans" w:eastAsia="Nunito Sans"/>
          <w:color w:val="000000"/>
          <w:sz w:val="28"/>
          <w:szCs w:val="28"/>
        </w:rPr>
        <w:t xml:space="preserve">Engineering Review*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unito Sans" w:hAnsi="Nunito Sans" w:cs="Nunito Sans" w:eastAsia="Nunito Sans"/>
          <w:color w:val="000000"/>
          <w:sz w:val="28"/>
          <w:szCs w:val="28"/>
        </w:rPr>
        <w:t xml:space="preserve">Air Permits 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Nunito Sans" w:hAnsi="Nunito Sans" w:cs="Nunito Sans" w:eastAsia="Nunito Sans"/>
          <w:color w:val="000000"/>
          <w:sz w:val="28"/>
          <w:szCs w:val="28"/>
        </w:rPr>
        <w:t xml:space="preserve">Licenses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" w:hAnsi="Nunito Sans" w:cs="Nunito Sans" w:eastAsia="Nunito Sans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Nunito Sans Light">
    <w:panose1 w:val="00000000000000000000"/>
    <w:charset w:characterSet="1"/>
    <w:embedRegular r:id="rId5"/>
  </w:font>
  <w:font w:name="Nunito Sans Bold">
    <w:panose1 w:val="00000000000000000000"/>
    <w:charset w:characterSet="1"/>
    <w:embedBold r:id="rId6"/>
  </w:font>
  <w:font w:name="Nunito Sans Heavy Italics">
    <w:panose1 w:val="00000000000000000000"/>
    <w:charset w:characterSet="1"/>
    <w:embedBoldItalic r:id="rId7"/>
  </w:font>
  <w:font w:name="Nunito Sans Light Italics">
    <w:panose1 w:val="00000000000000000000"/>
    <w:charset w:characterSet="1"/>
    <w:embedItalic r:id="rId8"/>
  </w:font>
  <w:font w:name="Nunito Sans Heavy">
    <w:panose1 w:val="00000000000000000000"/>
    <w:charset w:characterSet="1"/>
    <w:embedBold r:id="rId9"/>
  </w:font>
  <w:font w:name="Nunito Sans Extra-Light Italics">
    <w:panose1 w:val="00000000000000000000"/>
    <w:charset w:characterSet="1"/>
    <w:embedItalic r:id="rId10"/>
  </w:font>
  <w:font w:name="Nunito Sans">
    <w:panose1 w:val="00000000000000000000"/>
    <w:charset w:characterSet="1"/>
    <w:embedRegular r:id="rId11"/>
  </w:font>
  <w:font w:name="Nunito Sans Medium">
    <w:panose1 w:val="00000000000000000000"/>
    <w:charset w:characterSet="1"/>
    <w:embedBold r:id="rId12"/>
  </w:font>
  <w:font w:name="Nunito Sans Italics">
    <w:panose1 w:val="00000000000000000000"/>
    <w:charset w:characterSet="1"/>
    <w:embedItalic r:id="rId13"/>
  </w:font>
  <w:font w:name="Nunito Sans Bold Italics">
    <w:panose1 w:val="00000000000000000000"/>
    <w:charset w:characterSet="1"/>
    <w:embedBoldItalic r:id="rId14"/>
  </w:font>
  <w:font w:name="Nunito Sans Semi-Bold Italics">
    <w:panose1 w:val="00000000000000000000"/>
    <w:charset w:characterSet="1"/>
    <w:embedBoldItalic r:id="rId15"/>
  </w:font>
  <w:font w:name="Nunito Sans Medium Italics">
    <w:panose1 w:val="00000000000000000000"/>
    <w:charset w:characterSet="1"/>
    <w:embedBoldItalic r:id="rId16"/>
  </w:font>
  <w:font w:name="Nunito Sans Ultra-Bold Italics">
    <w:panose1 w:val="00000000000000000000"/>
    <w:charset w:characterSet="1"/>
    <w:embedBoldItalic r:id="rId17"/>
  </w:font>
  <w:font w:name="Nunito Sans Extra-Light">
    <w:panose1 w:val="00000000000000000000"/>
    <w:charset w:characterSet="1"/>
    <w:embedRegular r:id="rId18"/>
  </w:font>
  <w:font w:name="Nunito Sans Ultra-Bold">
    <w:panose1 w:val="00000000000000000000"/>
    <w:charset w:characterSet="1"/>
    <w:embedBold r:id="rId19"/>
  </w:font>
  <w:font w:name="Nunito Sans Semi-Bold">
    <w:panose1 w:val="00000000000000000000"/>
    <w:charset w:characterSet="1"/>
    <w:embedBold r:id="rId20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2024-12-19T15:30:19Z</dcterms:created>
  <dc:creator>Apache POI</dc:creator>
</cp:coreProperties>
</file>